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atLeast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>
      <w:pPr>
        <w:widowControl/>
        <w:spacing w:line="400" w:lineRule="atLeast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</w:rPr>
        <w:t>2021年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下半年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澳大利亚埃迪斯科文大学</w:t>
      </w:r>
    </w:p>
    <w:p>
      <w:pPr>
        <w:widowControl/>
        <w:spacing w:line="400" w:lineRule="atLeast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线上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</w:rPr>
        <w:t>交流生项目招生简章</w:t>
      </w:r>
    </w:p>
    <w:p>
      <w:pPr>
        <w:widowControl/>
        <w:spacing w:line="400" w:lineRule="atLeast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drawing>
          <wp:inline distT="0" distB="0" distL="114300" distR="114300">
            <wp:extent cx="5266055" cy="2580640"/>
            <wp:effectExtent l="0" t="0" r="10795" b="10160"/>
            <wp:docPr id="1" name="图片 1" descr="QQ截图20210708100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107081006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8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  <w:highlight w:val="none"/>
        </w:rPr>
      </w:pPr>
    </w:p>
    <w:p>
      <w:pPr>
        <w:spacing w:afterLines="50" w:line="360" w:lineRule="exact"/>
        <w:rPr>
          <w:rFonts w:asciiTheme="minorEastAsia" w:hAnsiTheme="minorEastAsia"/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 w:asciiTheme="minorEastAsia" w:hAnsiTheme="minorEastAsia"/>
          <w:b/>
          <w:color w:val="auto"/>
          <w:sz w:val="30"/>
          <w:szCs w:val="30"/>
          <w:highlight w:val="none"/>
          <w:u w:val="single"/>
          <w:lang w:val="en-US" w:eastAsia="zh-CN"/>
        </w:rPr>
        <w:t>澳大利亚埃迪斯科文大学</w:t>
      </w:r>
      <w:r>
        <w:rPr>
          <w:rFonts w:hint="eastAsia" w:asciiTheme="minorEastAsia" w:hAnsiTheme="minorEastAsia"/>
          <w:b/>
          <w:color w:val="auto"/>
          <w:sz w:val="30"/>
          <w:szCs w:val="30"/>
          <w:highlight w:val="none"/>
          <w:u w:val="single"/>
        </w:rPr>
        <w:t>简介</w:t>
      </w:r>
    </w:p>
    <w:p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 xml:space="preserve">埃迪斯科文大学（Edith Cowan University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以下</w:t>
      </w: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简称ECU）位于世界十大宜居城市之一的西澳洲首府珀斯，以现代创新著称，也是艺术及学术氛围浓厚并极具青春活力的公立大学。大学以澳大利亚历史上的第一位女性国会议员Edith Dircksey Cowan命名，拥有商学与法学学院、艺术与人文学院、工程技术学院、医学与健康学院、护理与助产学院、自然科学与理学院、教育学院及西澳表演艺术学院八大学院。大学的所有专业都包含不同形式的由大学安排的实习或工作实践，本科直入四年博士及与国家留学基金委合作的全额奖学金更是ECU研究类课程的独特亮点。</w:t>
      </w:r>
    </w:p>
    <w:p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  <w:t>ECU在2021THE世界大学排名中居401-500段。 在2019年世界大学影响力排名中位居全球第42位。在2018年QS学科排名中ECU的体育及运动科学排名世界第19，教育及传媒与文化传播专业世界前200。酒店与旅游管理学科在2020年世界大学学术排名51-75位。大学还连续11年荣获教学质量、毕业生起薪及雇主满意度5星级的最高评价。</w:t>
      </w:r>
    </w:p>
    <w:p>
      <w:pPr>
        <w:rPr>
          <w:rFonts w:hint="eastAsia" w:eastAsiaTheme="minorEastAsia"/>
          <w:color w:val="auto"/>
          <w:highlight w:val="none"/>
          <w:lang w:eastAsia="zh-CN"/>
        </w:rPr>
      </w:pPr>
    </w:p>
    <w:p>
      <w:pPr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合作</w:t>
      </w:r>
      <w:r>
        <w:rPr>
          <w:rFonts w:hint="eastAsia"/>
          <w:b/>
          <w:color w:val="auto"/>
          <w:sz w:val="30"/>
          <w:szCs w:val="30"/>
          <w:highlight w:val="none"/>
          <w:u w:val="single"/>
          <w:lang w:eastAsia="zh-CN"/>
        </w:rPr>
        <w:t>情况</w:t>
      </w: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介绍</w:t>
      </w:r>
    </w:p>
    <w:p>
      <w:pPr>
        <w:spacing w:beforeLines="50" w:afterLines="50"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我校于2</w:t>
      </w:r>
      <w:r>
        <w:rPr>
          <w:color w:val="auto"/>
          <w:sz w:val="24"/>
          <w:szCs w:val="24"/>
          <w:highlight w:val="none"/>
        </w:rPr>
        <w:t>0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eastAsia"/>
          <w:color w:val="auto"/>
          <w:sz w:val="24"/>
          <w:szCs w:val="24"/>
          <w:highlight w:val="none"/>
        </w:rPr>
        <w:t>年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与澳大利亚埃迪斯科文大学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(ECU）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签署合作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MOU，计划在师生培训交流、学历提升、联合科研等领域开展项目合作。</w:t>
      </w:r>
    </w:p>
    <w:p>
      <w:pPr>
        <w:spacing w:beforeLines="50" w:afterLines="50"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在当前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新冠</w:t>
      </w:r>
      <w:r>
        <w:rPr>
          <w:rFonts w:hint="eastAsia"/>
          <w:color w:val="auto"/>
          <w:sz w:val="24"/>
          <w:szCs w:val="24"/>
          <w:highlight w:val="none"/>
        </w:rPr>
        <w:t>疫情形势下，为降低学生出国学习的风险，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让师生仍旧能体验不同国家的教育模式，实现</w:t>
      </w:r>
      <w:r>
        <w:rPr>
          <w:rFonts w:hint="eastAsia"/>
          <w:color w:val="auto"/>
          <w:sz w:val="24"/>
          <w:szCs w:val="24"/>
          <w:highlight w:val="none"/>
        </w:rPr>
        <w:t>引进优质教育资源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/>
          <w:color w:val="auto"/>
          <w:sz w:val="24"/>
          <w:szCs w:val="24"/>
          <w:highlight w:val="none"/>
        </w:rPr>
        <w:t>拓宽我校师生国际化视角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的目标，两校经商议后同意合作</w:t>
      </w:r>
      <w:r>
        <w:rPr>
          <w:rFonts w:hint="eastAsia"/>
          <w:color w:val="auto"/>
          <w:sz w:val="24"/>
          <w:szCs w:val="24"/>
          <w:highlight w:val="none"/>
        </w:rPr>
        <w:t>举办线上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交流生项目。</w:t>
      </w:r>
    </w:p>
    <w:p>
      <w:pPr>
        <w:spacing w:line="360" w:lineRule="auto"/>
        <w:rPr>
          <w:rFonts w:hint="eastAsia"/>
          <w:b/>
          <w:color w:val="auto"/>
          <w:sz w:val="30"/>
          <w:szCs w:val="30"/>
          <w:highlight w:val="none"/>
          <w:u w:val="single"/>
        </w:rPr>
      </w:pPr>
    </w:p>
    <w:p>
      <w:pPr>
        <w:spacing w:line="360" w:lineRule="auto"/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项目目的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拓宽师生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国际化</w:t>
      </w:r>
      <w:r>
        <w:rPr>
          <w:rFonts w:hint="eastAsia"/>
          <w:color w:val="auto"/>
          <w:sz w:val="24"/>
          <w:szCs w:val="24"/>
          <w:highlight w:val="none"/>
        </w:rPr>
        <w:t>专业视角，提升学习主动性和创新性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学习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国外大学</w:t>
      </w:r>
      <w:r>
        <w:rPr>
          <w:rFonts w:hint="eastAsia"/>
          <w:color w:val="auto"/>
          <w:sz w:val="24"/>
          <w:szCs w:val="24"/>
          <w:highlight w:val="none"/>
        </w:rPr>
        <w:t>授课方式和专业领域学习方法，提升在学习过程中的合作能力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提升专业领域内的英文水平</w:t>
      </w:r>
    </w:p>
    <w:p>
      <w:pPr>
        <w:spacing w:line="360" w:lineRule="auto"/>
        <w:rPr>
          <w:rFonts w:hint="eastAsia"/>
          <w:b/>
          <w:color w:val="auto"/>
          <w:sz w:val="30"/>
          <w:szCs w:val="30"/>
          <w:highlight w:val="none"/>
          <w:u w:val="single"/>
        </w:rPr>
      </w:pPr>
    </w:p>
    <w:p>
      <w:pPr>
        <w:spacing w:line="360" w:lineRule="auto"/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项目方案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  <w:u w:val="none"/>
        </w:rPr>
      </w:pPr>
      <w:r>
        <w:rPr>
          <w:rFonts w:hint="eastAsia"/>
          <w:color w:val="auto"/>
          <w:sz w:val="24"/>
          <w:szCs w:val="24"/>
          <w:highlight w:val="none"/>
          <w:u w:val="none"/>
          <w:lang w:eastAsia="zh-CN"/>
        </w:rPr>
        <w:t>课程名称</w:t>
      </w:r>
      <w:r>
        <w:rPr>
          <w:rFonts w:hint="eastAsia"/>
          <w:color w:val="auto"/>
          <w:sz w:val="24"/>
          <w:szCs w:val="24"/>
          <w:highlight w:val="none"/>
          <w:u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u w:val="none"/>
          <w:lang w:eastAsia="zh-CN"/>
        </w:rPr>
        <w:t>《全球未来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Global Future</w:t>
      </w:r>
      <w:r>
        <w:rPr>
          <w:rFonts w:hint="eastAsia"/>
          <w:color w:val="auto"/>
          <w:sz w:val="24"/>
          <w:szCs w:val="24"/>
          <w:highlight w:val="none"/>
          <w:u w:val="none"/>
          <w:lang w:eastAsia="zh-CN"/>
        </w:rPr>
        <w:t>》，具体课程内容见附件；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  <w:u w:val="none"/>
        </w:rPr>
      </w:pPr>
      <w:r>
        <w:rPr>
          <w:rFonts w:hint="eastAsia"/>
          <w:color w:val="auto"/>
          <w:sz w:val="24"/>
          <w:szCs w:val="24"/>
          <w:highlight w:val="none"/>
          <w:u w:val="none"/>
          <w:lang w:eastAsia="zh-CN"/>
        </w:rPr>
        <w:t>授课方式：共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8周，</w:t>
      </w:r>
      <w:r>
        <w:rPr>
          <w:rFonts w:hint="eastAsia"/>
          <w:color w:val="auto"/>
          <w:sz w:val="24"/>
          <w:szCs w:val="24"/>
          <w:highlight w:val="none"/>
          <w:u w:val="none"/>
          <w:lang w:eastAsia="zh-CN"/>
        </w:rPr>
        <w:t>每周课程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4节（2节讲授+2节分组指导学习），每节45分钟，合计4学时/周，采取教师线上授课的方式；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ECU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选派2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名教授负责讲授，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选派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 xml:space="preserve">5~6 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名ECU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高年级大学生助教负责分组指导学习（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含：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讨论发言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、学习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答疑与小组演示指导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等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）。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项目</w:t>
      </w:r>
      <w:r>
        <w:rPr>
          <w:rFonts w:hint="default"/>
          <w:color w:val="auto"/>
          <w:sz w:val="24"/>
          <w:szCs w:val="24"/>
          <w:highlight w:val="none"/>
          <w:u w:val="none"/>
          <w:lang w:val="en-US" w:eastAsia="zh-CN"/>
        </w:rPr>
        <w:t>学生每8人为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一学习小组，实行分组式学习（线下集中学习）；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>参与方式：ZOOM会议软件、ECU线上学习系统；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/>
          <w:color w:val="auto"/>
          <w:sz w:val="24"/>
          <w:szCs w:val="24"/>
          <w:highlight w:val="none"/>
        </w:rPr>
        <w:t>将严格记录学生考勤，并且学生是否按时参加课程，并积极与教师互动将直接纳入最终考核；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课程结束时学生需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/>
          <w:color w:val="auto"/>
          <w:sz w:val="24"/>
          <w:szCs w:val="24"/>
          <w:highlight w:val="none"/>
        </w:rPr>
        <w:t>presentation或其他形式的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小组作业</w:t>
      </w:r>
      <w:r>
        <w:rPr>
          <w:rFonts w:hint="eastAsia"/>
          <w:color w:val="auto"/>
          <w:sz w:val="24"/>
          <w:szCs w:val="24"/>
          <w:highlight w:val="none"/>
        </w:rPr>
        <w:t>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课程结束后学生将获得：</w:t>
      </w:r>
    </w:p>
    <w:p>
      <w:pPr>
        <w:pStyle w:val="11"/>
        <w:numPr>
          <w:ilvl w:val="0"/>
          <w:numId w:val="3"/>
        </w:numPr>
        <w:spacing w:line="360" w:lineRule="auto"/>
        <w:ind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项目证书</w:t>
      </w:r>
    </w:p>
    <w:p>
      <w:pPr>
        <w:pStyle w:val="11"/>
        <w:numPr>
          <w:ilvl w:val="0"/>
          <w:numId w:val="3"/>
        </w:numPr>
        <w:spacing w:line="360" w:lineRule="auto"/>
        <w:ind w:firstLineChars="0"/>
        <w:rPr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学分可申请认定为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</w:rPr>
        <w:t>福建江夏学院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社科类公选课，免修（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2学分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eastAsia="zh-CN"/>
        </w:rPr>
        <w:t>）公选课学分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;</w:t>
      </w:r>
    </w:p>
    <w:p>
      <w:pPr>
        <w:numPr>
          <w:ilvl w:val="0"/>
          <w:numId w:val="2"/>
        </w:numPr>
        <w:spacing w:line="360" w:lineRule="auto"/>
        <w:ind w:left="360" w:leftChars="0" w:hanging="360" w:firstLineChars="0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课程费用</w:t>
      </w:r>
    </w:p>
    <w:p>
      <w:pPr>
        <w:numPr>
          <w:ilvl w:val="0"/>
          <w:numId w:val="4"/>
        </w:numPr>
        <w:spacing w:line="360" w:lineRule="auto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课程费用：4000</w:t>
      </w:r>
      <w:r>
        <w:rPr>
          <w:rFonts w:hint="eastAsia"/>
          <w:color w:val="auto"/>
          <w:sz w:val="24"/>
          <w:szCs w:val="24"/>
          <w:highlight w:val="none"/>
        </w:rPr>
        <w:t>元（人民币）/人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,由学生按ECU要求汇入指定账号；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凡报名参加交流学习学生，参照《福建江夏学院优秀本科生国（境）外访学奖学金实施办法（试行）》给予奖励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或补助：</w:t>
      </w:r>
      <w:r>
        <w:rPr>
          <w:rFonts w:hint="eastAsia"/>
          <w:color w:val="auto"/>
          <w:sz w:val="24"/>
          <w:szCs w:val="24"/>
          <w:highlight w:val="none"/>
        </w:rPr>
        <w:t>凡通过课程考核的，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学校</w:t>
      </w:r>
      <w:r>
        <w:rPr>
          <w:rFonts w:hint="eastAsia"/>
          <w:color w:val="auto"/>
          <w:sz w:val="24"/>
          <w:szCs w:val="24"/>
          <w:highlight w:val="none"/>
        </w:rPr>
        <w:t>给予全额奖励；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未通过课程考核的，学校给予部分补助，</w:t>
      </w:r>
      <w:r>
        <w:rPr>
          <w:rFonts w:hint="eastAsia"/>
          <w:color w:val="auto"/>
          <w:sz w:val="24"/>
          <w:szCs w:val="24"/>
          <w:highlight w:val="none"/>
        </w:rPr>
        <w:t>具体奖励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或补助</w:t>
      </w:r>
      <w:r>
        <w:rPr>
          <w:rFonts w:hint="eastAsia"/>
          <w:color w:val="auto"/>
          <w:sz w:val="24"/>
          <w:szCs w:val="24"/>
          <w:highlight w:val="none"/>
        </w:rPr>
        <w:t>如下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（单位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:人民币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奖励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/补助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金额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学生自费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课程通过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4000元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0元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出勤率需达标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课程未通过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3000元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1000元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rPr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出勤率需达标</w:t>
            </w:r>
          </w:p>
        </w:tc>
      </w:tr>
    </w:tbl>
    <w:p>
      <w:pPr>
        <w:numPr>
          <w:ilvl w:val="0"/>
          <w:numId w:val="4"/>
        </w:numPr>
        <w:ind w:left="0" w:leftChars="0" w:firstLine="0"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学生</w:t>
      </w:r>
      <w:r>
        <w:rPr>
          <w:rFonts w:hint="eastAsia"/>
          <w:color w:val="auto"/>
          <w:sz w:val="24"/>
          <w:szCs w:val="24"/>
          <w:highlight w:val="none"/>
        </w:rPr>
        <w:t>报名后，凡无故不参加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课程学习</w:t>
      </w:r>
      <w:r>
        <w:rPr>
          <w:rFonts w:hint="eastAsia"/>
          <w:color w:val="auto"/>
          <w:sz w:val="24"/>
          <w:szCs w:val="24"/>
          <w:highlight w:val="none"/>
        </w:rPr>
        <w:t>，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不完成相应作业等相关要求</w:t>
      </w:r>
      <w:r>
        <w:rPr>
          <w:rFonts w:hint="eastAsia"/>
          <w:color w:val="auto"/>
          <w:sz w:val="24"/>
          <w:szCs w:val="24"/>
          <w:highlight w:val="none"/>
        </w:rPr>
        <w:t>，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课程</w:t>
      </w:r>
      <w:r>
        <w:rPr>
          <w:rFonts w:hint="eastAsia"/>
          <w:color w:val="auto"/>
          <w:sz w:val="24"/>
          <w:szCs w:val="24"/>
          <w:highlight w:val="none"/>
        </w:rPr>
        <w:t>费用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4000元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</w:rPr>
        <w:t>由学生自理。</w:t>
      </w:r>
    </w:p>
    <w:p>
      <w:pPr>
        <w:rPr>
          <w:rFonts w:hint="eastAsia"/>
          <w:b/>
          <w:color w:val="FF0000"/>
          <w:sz w:val="30"/>
          <w:szCs w:val="30"/>
          <w:highlight w:val="none"/>
          <w:u w:val="single"/>
        </w:rPr>
      </w:pPr>
    </w:p>
    <w:p>
      <w:pPr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招生对象</w:t>
      </w:r>
    </w:p>
    <w:p>
      <w:pP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福建江夏学院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全日制在籍</w:t>
      </w:r>
      <w:r>
        <w:rPr>
          <w:rFonts w:hint="eastAsia"/>
          <w:color w:val="auto"/>
          <w:sz w:val="24"/>
          <w:szCs w:val="24"/>
          <w:highlight w:val="none"/>
        </w:rPr>
        <w:t>学生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。</w:t>
      </w:r>
    </w:p>
    <w:p>
      <w:pPr>
        <w:rPr>
          <w:rFonts w:hint="default"/>
          <w:color w:val="auto"/>
          <w:highlight w:val="none"/>
          <w:lang w:val="en-US" w:eastAsia="zh-CN"/>
        </w:rPr>
      </w:pPr>
    </w:p>
    <w:p>
      <w:pPr>
        <w:spacing w:line="400" w:lineRule="exact"/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项目时间</w:t>
      </w:r>
    </w:p>
    <w:p>
      <w:pPr>
        <w:spacing w:line="400" w:lineRule="exac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暂定</w:t>
      </w:r>
      <w:r>
        <w:rPr>
          <w:rFonts w:hint="eastAsia"/>
          <w:color w:val="auto"/>
          <w:sz w:val="24"/>
          <w:szCs w:val="24"/>
          <w:highlight w:val="none"/>
        </w:rPr>
        <w:t>2</w:t>
      </w:r>
      <w:r>
        <w:rPr>
          <w:color w:val="auto"/>
          <w:sz w:val="24"/>
          <w:szCs w:val="24"/>
          <w:highlight w:val="none"/>
        </w:rPr>
        <w:t>021</w:t>
      </w:r>
      <w:r>
        <w:rPr>
          <w:rFonts w:hint="eastAsia"/>
          <w:color w:val="auto"/>
          <w:sz w:val="24"/>
          <w:szCs w:val="24"/>
          <w:highlight w:val="none"/>
        </w:rPr>
        <w:t>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/>
          <w:color w:val="auto"/>
          <w:sz w:val="24"/>
          <w:szCs w:val="24"/>
          <w:highlight w:val="none"/>
        </w:rPr>
        <w:t>月-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/>
          <w:color w:val="auto"/>
          <w:sz w:val="24"/>
          <w:szCs w:val="24"/>
          <w:highlight w:val="none"/>
        </w:rPr>
        <w:t>月（共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/>
          <w:color w:val="auto"/>
          <w:sz w:val="24"/>
          <w:szCs w:val="24"/>
          <w:highlight w:val="none"/>
        </w:rPr>
        <w:t>周）</w:t>
      </w:r>
    </w:p>
    <w:p>
      <w:pPr>
        <w:spacing w:line="400" w:lineRule="exact"/>
        <w:rPr>
          <w:color w:val="auto"/>
          <w:sz w:val="24"/>
          <w:szCs w:val="24"/>
          <w:highlight w:val="none"/>
        </w:rPr>
      </w:pPr>
    </w:p>
    <w:p>
      <w:pPr>
        <w:spacing w:line="360" w:lineRule="auto"/>
        <w:rPr>
          <w:rFonts w:hint="eastAsia"/>
          <w:b/>
          <w:color w:val="auto"/>
          <w:sz w:val="30"/>
          <w:szCs w:val="30"/>
          <w:highlight w:val="none"/>
          <w:u w:val="single"/>
          <w:lang w:eastAsia="zh-CN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  <w:lang w:eastAsia="zh-CN"/>
        </w:rPr>
        <w:t>申请材料</w:t>
      </w:r>
    </w:p>
    <w:p>
      <w:pPr>
        <w:numPr>
          <w:ilvl w:val="0"/>
          <w:numId w:val="5"/>
        </w:numPr>
        <w:spacing w:line="360" w:lineRule="auto"/>
        <w:rPr>
          <w:rFonts w:hint="eastAsia" w:ascii="等线" w:hAnsi="等线" w:eastAsia="等线" w:cs="等线"/>
          <w:b w:val="0"/>
          <w:bCs w:val="0"/>
          <w:color w:val="auto"/>
          <w:sz w:val="24"/>
          <w:szCs w:val="24"/>
          <w:highlight w:val="none"/>
          <w:u w:val="single"/>
        </w:rPr>
      </w:pPr>
      <w:r>
        <w:rPr>
          <w:rFonts w:hint="eastAsia" w:ascii="等线" w:hAnsi="等线" w:eastAsia="等线" w:cs="等线"/>
          <w:b w:val="0"/>
          <w:bCs w:val="0"/>
          <w:color w:val="auto"/>
          <w:sz w:val="24"/>
          <w:szCs w:val="24"/>
          <w:highlight w:val="none"/>
          <w:lang w:val="en-US" w:eastAsia="zh-CN"/>
        </w:rPr>
        <w:t>ECU项目学生报名信息表（电子版发送至陈茂林老师处）</w:t>
      </w:r>
    </w:p>
    <w:p>
      <w:pPr>
        <w:spacing w:line="360" w:lineRule="auto"/>
        <w:rPr>
          <w:rFonts w:hint="eastAsia"/>
          <w:b/>
          <w:color w:val="auto"/>
          <w:sz w:val="30"/>
          <w:szCs w:val="30"/>
          <w:highlight w:val="none"/>
          <w:u w:val="single"/>
        </w:rPr>
      </w:pPr>
    </w:p>
    <w:p>
      <w:pPr>
        <w:spacing w:line="360" w:lineRule="auto"/>
        <w:rPr>
          <w:b/>
          <w:color w:val="auto"/>
          <w:sz w:val="30"/>
          <w:szCs w:val="30"/>
          <w:highlight w:val="none"/>
          <w:u w:val="single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报名截止时间</w:t>
      </w:r>
    </w:p>
    <w:p>
      <w:pPr>
        <w:spacing w:line="360" w:lineRule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2021年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/>
          <w:color w:val="auto"/>
          <w:sz w:val="24"/>
          <w:szCs w:val="24"/>
          <w:highlight w:val="none"/>
        </w:rPr>
        <w:t>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color w:val="auto"/>
          <w:sz w:val="24"/>
          <w:szCs w:val="24"/>
          <w:highlight w:val="none"/>
        </w:rPr>
        <w:t>日</w:t>
      </w:r>
    </w:p>
    <w:p>
      <w:pPr>
        <w:spacing w:line="400" w:lineRule="exact"/>
        <w:rPr>
          <w:rFonts w:hint="eastAsia"/>
          <w:b/>
          <w:color w:val="auto"/>
          <w:sz w:val="30"/>
          <w:szCs w:val="30"/>
          <w:highlight w:val="none"/>
          <w:u w:val="single"/>
        </w:rPr>
      </w:pPr>
    </w:p>
    <w:p>
      <w:pPr>
        <w:spacing w:line="400" w:lineRule="exact"/>
        <w:rPr>
          <w:rFonts w:hint="eastAsia" w:eastAsiaTheme="minorEastAsia"/>
          <w:b/>
          <w:color w:val="auto"/>
          <w:sz w:val="30"/>
          <w:szCs w:val="30"/>
          <w:highlight w:val="none"/>
          <w:u w:val="single"/>
          <w:lang w:eastAsia="zh-CN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</w:rPr>
        <w:t>报名</w:t>
      </w:r>
      <w:r>
        <w:rPr>
          <w:rFonts w:hint="eastAsia"/>
          <w:b/>
          <w:color w:val="auto"/>
          <w:sz w:val="30"/>
          <w:szCs w:val="30"/>
          <w:highlight w:val="none"/>
          <w:u w:val="single"/>
          <w:lang w:eastAsia="zh-CN"/>
        </w:rPr>
        <w:t>咨询</w:t>
      </w:r>
    </w:p>
    <w:p>
      <w:pPr>
        <w:spacing w:line="400" w:lineRule="exact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报名地址：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行政楼C区</w:t>
      </w:r>
      <w:r>
        <w:rPr>
          <w:rFonts w:hint="eastAsia"/>
          <w:color w:val="auto"/>
          <w:sz w:val="24"/>
          <w:szCs w:val="24"/>
          <w:highlight w:val="none"/>
        </w:rPr>
        <w:t>福建江夏学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</w:rPr>
        <w:t>院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外国语学院办公室</w:t>
      </w:r>
    </w:p>
    <w:p>
      <w:pPr>
        <w:spacing w:line="400" w:lineRule="exact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联系人：陈茂林</w:t>
      </w:r>
    </w:p>
    <w:p>
      <w:pPr>
        <w:spacing w:line="400" w:lineRule="exact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电话：0591-23531692</w:t>
      </w:r>
    </w:p>
    <w:p>
      <w:pPr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</w:p>
    <w:p>
      <w:pPr>
        <w:spacing w:line="360" w:lineRule="auto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color w:val="auto"/>
          <w:sz w:val="30"/>
          <w:szCs w:val="30"/>
          <w:highlight w:val="none"/>
          <w:u w:val="single"/>
          <w:lang w:eastAsia="zh-CN"/>
        </w:rPr>
        <w:t>附件：</w:t>
      </w:r>
    </w:p>
    <w:p>
      <w:p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/>
          <w:color w:val="auto"/>
          <w:sz w:val="24"/>
          <w:szCs w:val="24"/>
          <w:highlight w:val="none"/>
          <w:lang w:val="en-US" w:eastAsia="zh-CN"/>
        </w:rPr>
        <w:t>全球未来Global Future 师资及课程介绍</w:t>
      </w:r>
    </w:p>
    <w:p>
      <w:pPr>
        <w:rPr>
          <w:rFonts w:hint="default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备注：课程安排会根据实际报名情况以及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澳方</w:t>
      </w:r>
      <w:r>
        <w:rPr>
          <w:rFonts w:hint="eastAsia"/>
          <w:color w:val="auto"/>
          <w:sz w:val="24"/>
          <w:szCs w:val="24"/>
          <w:highlight w:val="none"/>
        </w:rPr>
        <w:t>大学的课程安排进行调整。</w:t>
      </w:r>
    </w:p>
    <w:p>
      <w:pPr>
        <w:rPr>
          <w:rFonts w:hint="eastAsia"/>
          <w:color w:val="auto"/>
          <w:sz w:val="24"/>
          <w:szCs w:val="24"/>
          <w:highlight w:val="none"/>
        </w:rPr>
      </w:pPr>
    </w:p>
    <w:p>
      <w:pPr>
        <w:ind w:firstLine="4320" w:firstLineChars="1800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国际合作处（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台</w:t>
      </w:r>
      <w:r>
        <w:rPr>
          <w:rFonts w:hint="eastAsia"/>
          <w:color w:val="auto"/>
          <w:sz w:val="24"/>
          <w:szCs w:val="24"/>
          <w:highlight w:val="none"/>
        </w:rPr>
        <w:t>港澳办）</w:t>
      </w:r>
    </w:p>
    <w:p>
      <w:pPr>
        <w:ind w:firstLine="5160" w:firstLineChars="2150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202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highlight w:val="none"/>
        </w:rPr>
        <w:t>.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/>
          <w:color w:val="auto"/>
          <w:sz w:val="24"/>
          <w:szCs w:val="24"/>
          <w:highlight w:val="none"/>
        </w:rPr>
        <w:t>.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7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5F722"/>
    <w:multiLevelType w:val="singleLevel"/>
    <w:tmpl w:val="13B5F72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1B942BB0"/>
    <w:multiLevelType w:val="multilevel"/>
    <w:tmpl w:val="1B942B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01478E"/>
    <w:multiLevelType w:val="multilevel"/>
    <w:tmpl w:val="4301478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BB121B"/>
    <w:multiLevelType w:val="multilevel"/>
    <w:tmpl w:val="4BBB121B"/>
    <w:lvl w:ilvl="0" w:tentative="0">
      <w:start w:val="1"/>
      <w:numFmt w:val="upperLetter"/>
      <w:lvlText w:val="%1．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EDDC467"/>
    <w:multiLevelType w:val="singleLevel"/>
    <w:tmpl w:val="4EDDC4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AE8"/>
    <w:rsid w:val="000120BD"/>
    <w:rsid w:val="00014D17"/>
    <w:rsid w:val="00021EF7"/>
    <w:rsid w:val="00044F70"/>
    <w:rsid w:val="00046EAD"/>
    <w:rsid w:val="00055F7E"/>
    <w:rsid w:val="000715B5"/>
    <w:rsid w:val="000A0697"/>
    <w:rsid w:val="000C7F63"/>
    <w:rsid w:val="000E6503"/>
    <w:rsid w:val="0010149C"/>
    <w:rsid w:val="00101D11"/>
    <w:rsid w:val="00103810"/>
    <w:rsid w:val="00112248"/>
    <w:rsid w:val="001465B5"/>
    <w:rsid w:val="001C548D"/>
    <w:rsid w:val="001E2741"/>
    <w:rsid w:val="0021443C"/>
    <w:rsid w:val="002447DE"/>
    <w:rsid w:val="00251206"/>
    <w:rsid w:val="002778F1"/>
    <w:rsid w:val="002C2468"/>
    <w:rsid w:val="002C55E2"/>
    <w:rsid w:val="002D0E38"/>
    <w:rsid w:val="002F5D1F"/>
    <w:rsid w:val="002F7637"/>
    <w:rsid w:val="00372FAA"/>
    <w:rsid w:val="003A7272"/>
    <w:rsid w:val="003C5C91"/>
    <w:rsid w:val="00412A03"/>
    <w:rsid w:val="0043276B"/>
    <w:rsid w:val="00471F74"/>
    <w:rsid w:val="00484E1E"/>
    <w:rsid w:val="004B01D3"/>
    <w:rsid w:val="004B5D93"/>
    <w:rsid w:val="004B7E27"/>
    <w:rsid w:val="004C1790"/>
    <w:rsid w:val="004C281C"/>
    <w:rsid w:val="005539FB"/>
    <w:rsid w:val="005917FE"/>
    <w:rsid w:val="005A043A"/>
    <w:rsid w:val="005F5AE8"/>
    <w:rsid w:val="006033A6"/>
    <w:rsid w:val="00612377"/>
    <w:rsid w:val="0062277B"/>
    <w:rsid w:val="00650791"/>
    <w:rsid w:val="006665CC"/>
    <w:rsid w:val="00681A20"/>
    <w:rsid w:val="00693812"/>
    <w:rsid w:val="00712E11"/>
    <w:rsid w:val="0073031E"/>
    <w:rsid w:val="007339D0"/>
    <w:rsid w:val="00737FED"/>
    <w:rsid w:val="0075284B"/>
    <w:rsid w:val="00765A45"/>
    <w:rsid w:val="00793AA9"/>
    <w:rsid w:val="007D3175"/>
    <w:rsid w:val="007E443B"/>
    <w:rsid w:val="00834188"/>
    <w:rsid w:val="00862061"/>
    <w:rsid w:val="00894DA4"/>
    <w:rsid w:val="008A6A7B"/>
    <w:rsid w:val="008C509A"/>
    <w:rsid w:val="008D425C"/>
    <w:rsid w:val="008E3563"/>
    <w:rsid w:val="00904477"/>
    <w:rsid w:val="009B1B6E"/>
    <w:rsid w:val="00A03D9D"/>
    <w:rsid w:val="00A57B89"/>
    <w:rsid w:val="00A67188"/>
    <w:rsid w:val="00A70800"/>
    <w:rsid w:val="00A92F4B"/>
    <w:rsid w:val="00AC35CB"/>
    <w:rsid w:val="00B13FE2"/>
    <w:rsid w:val="00B92A0C"/>
    <w:rsid w:val="00BD2517"/>
    <w:rsid w:val="00BE5FDD"/>
    <w:rsid w:val="00C5198E"/>
    <w:rsid w:val="00C56FC8"/>
    <w:rsid w:val="00C6385E"/>
    <w:rsid w:val="00C66670"/>
    <w:rsid w:val="00CD66C7"/>
    <w:rsid w:val="00CE1036"/>
    <w:rsid w:val="00CF175F"/>
    <w:rsid w:val="00D00944"/>
    <w:rsid w:val="00D22E30"/>
    <w:rsid w:val="00D52E58"/>
    <w:rsid w:val="00D6004D"/>
    <w:rsid w:val="00D77353"/>
    <w:rsid w:val="00DD4DF8"/>
    <w:rsid w:val="00DD64F1"/>
    <w:rsid w:val="00DF3D9D"/>
    <w:rsid w:val="00E2452B"/>
    <w:rsid w:val="00E300E1"/>
    <w:rsid w:val="00E43EC9"/>
    <w:rsid w:val="00E73AE1"/>
    <w:rsid w:val="00E95763"/>
    <w:rsid w:val="00ED2AF8"/>
    <w:rsid w:val="00EE5E31"/>
    <w:rsid w:val="00F17179"/>
    <w:rsid w:val="00F2431C"/>
    <w:rsid w:val="00F46A64"/>
    <w:rsid w:val="00FD45FE"/>
    <w:rsid w:val="00FF3A5A"/>
    <w:rsid w:val="02092C45"/>
    <w:rsid w:val="056176F0"/>
    <w:rsid w:val="115A7658"/>
    <w:rsid w:val="19C7514C"/>
    <w:rsid w:val="1B8E3496"/>
    <w:rsid w:val="1F8E5F99"/>
    <w:rsid w:val="212D0405"/>
    <w:rsid w:val="247F259B"/>
    <w:rsid w:val="2EDD17F1"/>
    <w:rsid w:val="347E4719"/>
    <w:rsid w:val="36C81CB5"/>
    <w:rsid w:val="3B353680"/>
    <w:rsid w:val="40EC3A6B"/>
    <w:rsid w:val="479140FC"/>
    <w:rsid w:val="4AB90ABE"/>
    <w:rsid w:val="4DB166DD"/>
    <w:rsid w:val="5591670F"/>
    <w:rsid w:val="564D6516"/>
    <w:rsid w:val="59B84556"/>
    <w:rsid w:val="5E1F2895"/>
    <w:rsid w:val="61BF7D04"/>
    <w:rsid w:val="66C55A35"/>
    <w:rsid w:val="6E420474"/>
    <w:rsid w:val="6FE1C908"/>
    <w:rsid w:val="7BCB784A"/>
    <w:rsid w:val="7E77038E"/>
    <w:rsid w:val="7EF79620"/>
    <w:rsid w:val="DFF9E190"/>
    <w:rsid w:val="FDBBAD1F"/>
    <w:rsid w:val="FD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</w:pPr>
    <w:rPr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table" w:customStyle="1" w:styleId="10">
    <w:name w:val="网格型1"/>
    <w:basedOn w:val="5"/>
    <w:qFormat/>
    <w:uiPriority w:val="39"/>
    <w:pPr>
      <w:widowControl w:val="0"/>
    </w:pPr>
    <w:rPr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table" w:customStyle="1" w:styleId="13">
    <w:name w:val="网格表 1 浅色 - 着色 11"/>
    <w:basedOn w:val="5"/>
    <w:qFormat/>
    <w:uiPriority w:val="46"/>
    <w:rPr>
      <w:sz w:val="22"/>
      <w:lang w:val="en-GB" w:eastAsia="en-US"/>
    </w:r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cPr>
        <w:tcBorders>
          <w:top w:val="double" w:color="9CC2E5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表 1 浅色 - 着色 12"/>
    <w:basedOn w:val="5"/>
    <w:qFormat/>
    <w:uiPriority w:val="46"/>
    <w:rPr>
      <w:sz w:val="22"/>
      <w:lang w:val="en-GB" w:eastAsia="en-US"/>
    </w:r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9CC2E5" w:sz="12" w:space="0"/>
        </w:tcBorders>
      </w:tcPr>
    </w:tblStylePr>
    <w:tblStylePr w:type="lastRow">
      <w:rPr>
        <w:b/>
        <w:bCs/>
      </w:rPr>
      <w:tcPr>
        <w:tcBorders>
          <w:top w:val="double" w:color="9CC2E5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表 1 浅色 - 着色 13"/>
    <w:basedOn w:val="5"/>
    <w:qFormat/>
    <w:uiPriority w:val="46"/>
    <w:tblPr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6">
    <w:name w:val="列表段落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373</Words>
  <Characters>2130</Characters>
  <Lines>17</Lines>
  <Paragraphs>4</Paragraphs>
  <TotalTime>10</TotalTime>
  <ScaleCrop>false</ScaleCrop>
  <LinksUpToDate>false</LinksUpToDate>
  <CharactersWithSpaces>2499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2020-12-21T07:34:00Z</dcterms:created>
  <dc:creator>zhu wei</dc:creator>
  <cp:lastModifiedBy>陈瑶</cp:lastModifiedBy>
  <cp:lastPrinted>2021-07-07T01:20:00Z</cp:lastPrinted>
  <dcterms:modified xsi:type="dcterms:W3CDTF">2021-12-14T08:46:24Z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2ECD939685D74C7DA183C7C3ED5CF678</vt:lpwstr>
  </property>
</Properties>
</file>